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0C3" w:rsidRPr="004E10C3" w:rsidRDefault="004E10C3" w:rsidP="00E45D95">
      <w:pPr>
        <w:snapToGrid w:val="0"/>
        <w:rPr>
          <w:rFonts w:ascii="黑体" w:eastAsia="黑体" w:hAnsi="黑体" w:cs="Times New Roman" w:hint="eastAsia"/>
          <w:b/>
          <w:sz w:val="30"/>
          <w:szCs w:val="30"/>
        </w:rPr>
      </w:pPr>
      <w:bookmarkStart w:id="0" w:name="_GoBack"/>
      <w:bookmarkEnd w:id="0"/>
    </w:p>
    <w:p w:rsidR="004E10C3" w:rsidRPr="004E10C3" w:rsidRDefault="004E10C3" w:rsidP="004E10C3">
      <w:pPr>
        <w:snapToGrid w:val="0"/>
        <w:jc w:val="center"/>
        <w:rPr>
          <w:rFonts w:ascii="黑体" w:eastAsia="黑体" w:hAnsi="黑体" w:cs="Times New Roman"/>
          <w:b/>
          <w:sz w:val="30"/>
          <w:szCs w:val="30"/>
        </w:rPr>
      </w:pPr>
      <w:r w:rsidRPr="004E10C3">
        <w:rPr>
          <w:rFonts w:ascii="黑体" w:eastAsia="黑体" w:hAnsi="黑体" w:cs="Times New Roman" w:hint="eastAsia"/>
          <w:b/>
          <w:sz w:val="30"/>
          <w:szCs w:val="30"/>
        </w:rPr>
        <w:t>药物临床试验伦理审查工作指导原则</w:t>
      </w:r>
    </w:p>
    <w:p w:rsidR="004E10C3" w:rsidRPr="004E10C3" w:rsidRDefault="004E10C3" w:rsidP="004E10C3">
      <w:pPr>
        <w:snapToGrid w:val="0"/>
        <w:jc w:val="center"/>
        <w:rPr>
          <w:rFonts w:ascii="仿宋_GB2312" w:eastAsia="仿宋_GB2312" w:hAnsi="Times New Roman" w:cs="Times New Roman"/>
          <w:sz w:val="28"/>
          <w:szCs w:val="28"/>
        </w:rPr>
      </w:pPr>
    </w:p>
    <w:p w:rsidR="004E10C3" w:rsidRPr="004E10C3" w:rsidRDefault="004E10C3" w:rsidP="004E10C3">
      <w:pPr>
        <w:snapToGrid w:val="0"/>
        <w:jc w:val="center"/>
        <w:rPr>
          <w:rFonts w:ascii="宋体" w:eastAsia="宋体" w:hAnsi="宋体" w:cs="Times New Roman"/>
          <w:sz w:val="24"/>
          <w:szCs w:val="24"/>
        </w:rPr>
      </w:pPr>
      <w:r w:rsidRPr="004E10C3">
        <w:rPr>
          <w:rFonts w:ascii="宋体" w:eastAsia="宋体" w:hAnsi="宋体" w:cs="Times New Roman" w:hint="eastAsia"/>
          <w:sz w:val="24"/>
          <w:szCs w:val="24"/>
        </w:rPr>
        <w:t>第一章　总　则</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第一条　为加强药物临床试验伦理审查工作的指导和监督管理，规范伦理委员会对药物临床试验的伦理审查工作，保证药物临床试验符合科学和伦理要求，根据《药物临床试验质量管理规范》（GCP）、世界医学会《赫尔辛基宣言》、国际医学科学组织理事会《涉及人的生物医学研究国际伦理准则》，制定本指导原则。</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第二条　伦理委员会对药物临床试验项目的科学性、伦理合理性进行审查，旨在保证受试者尊严、安全和权益，促进药物临床试验科学、健康地发展，增强公众对药物临床试验的信任和支持。</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第三条　伦理委员会须在遵守国家宪法、法律、法规和有关规定的前提下，独立开展药物临床试验的伦理审查工作，并接受药品监督管理部门的指导和监督。</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第四条　药品监督管理部门需建立对伦理委员会药物临床试验伦理审查工作的检查和评价制度，实施对伦理委员会伦理审查工作的指导和监督管理。</w:t>
      </w:r>
    </w:p>
    <w:p w:rsidR="004E10C3" w:rsidRPr="004E10C3" w:rsidRDefault="004E10C3" w:rsidP="004E10C3">
      <w:pPr>
        <w:snapToGrid w:val="0"/>
        <w:jc w:val="center"/>
        <w:rPr>
          <w:rFonts w:ascii="宋体" w:eastAsia="宋体" w:hAnsi="宋体" w:cs="Times New Roman"/>
          <w:sz w:val="24"/>
          <w:szCs w:val="24"/>
        </w:rPr>
      </w:pPr>
    </w:p>
    <w:p w:rsidR="004E10C3" w:rsidRPr="004E10C3" w:rsidRDefault="004E10C3" w:rsidP="004E10C3">
      <w:pPr>
        <w:snapToGrid w:val="0"/>
        <w:jc w:val="center"/>
        <w:rPr>
          <w:rFonts w:ascii="宋体" w:eastAsia="宋体" w:hAnsi="宋体" w:cs="Times New Roman"/>
          <w:sz w:val="24"/>
          <w:szCs w:val="24"/>
        </w:rPr>
      </w:pPr>
      <w:r w:rsidRPr="004E10C3">
        <w:rPr>
          <w:rFonts w:ascii="宋体" w:eastAsia="宋体" w:hAnsi="宋体" w:cs="Times New Roman" w:hint="eastAsia"/>
          <w:sz w:val="24"/>
          <w:szCs w:val="24"/>
        </w:rPr>
        <w:t>第二章　伦理委员会的组织与管理</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第五条　组建伦理委员会应符合国家相关的管理规定。伦理委员会应由多学科背景的人员组成，包括从事医药相关专业人员、非医药专业人员、法律专家，以及独立于研究/试验单位之外的人员，至少5人，且性别均衡。确保伦理委员有资格和经验共同对试验的科学性及伦理合理性进行审阅和评估。伦理委员会的组成和工作不应受任何参与试验者的影响。</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第六条　伦理委员会应有书面文件说明伦理委员会的组织构架、主管部门、伦理委员会的职责、成员的资质要求、任职条件和任期、办公室工作职责，建立选择与任命伦理委员会委员与秘书的程序等。 </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第七条　组建伦理委员会的机构/部门应当向伦理委员会提供必要的支持。设立独立的办公室，具备必要的办公条件，以确保与申请人的沟通及相关文件的保密性。</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第八条　伦理委员会委员可以采用招聘、推荐等方式产生。伦理委员会设主任委员一名，副主任委员若干名，由伦理委员会委员选举产生。</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第九条　伦理委员会委员应同意公开其姓名、职业和隶属关系，签署有关审查项目、受试者信息和相关事宜的保密协议，签署利益冲突声明。</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第十条　伦理委员会可以聘请独立顾问或委任常任独立顾问。独立顾问应伦理委员会的邀请，就试验方案中的一些问题向伦理委员会提供咨询意见，但独立顾问不具有伦理审查表决权。独立顾问可以是伦理或法律方面的、特定疾病或方法学的专家，或者是特殊疾病人群、特定地区人群/族群或其他特定利益团体的代表。</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第十一条　伦理委员会应针对新委员和委员的继续教育建立培训机制，组织GCP等相关法律法规、药物临床试验伦理审查技术以及伦理委员会标准操作规程的培训。</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第十二条　伦理委员会应制定标准操作规程和制度，以确保伦理审查工作的规范性与一致性。内容至少包括以下几个方面：</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（一）标准操作规程与伦理审查申请指南的制定；</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（二）伦理委员会的组织与管理：伦理委员会的组建，伦理审查的保密措施，</w:t>
      </w:r>
      <w:r w:rsidRPr="004E10C3">
        <w:rPr>
          <w:rFonts w:ascii="宋体" w:eastAsia="宋体" w:hAnsi="宋体" w:cs="Times New Roman" w:hint="eastAsia"/>
          <w:sz w:val="24"/>
          <w:szCs w:val="24"/>
        </w:rPr>
        <w:lastRenderedPageBreak/>
        <w:t>利益冲突的管理，委员与工作人员的培训，独立顾问的选聘；</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（三）伦理审查的方式：会议审查与紧急会议审查，快速审查；</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（四）伦理审查的流程：审查申请的受理与处理，初始审查，跟踪审查，审查决定的传达；</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（五）会议管理：会议准备，会议程序，会议记录；</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（六）文件与档案管理：建档，保存，查阅与复印。</w:t>
      </w:r>
    </w:p>
    <w:p w:rsidR="004E10C3" w:rsidRPr="004E10C3" w:rsidRDefault="004E10C3" w:rsidP="004E10C3">
      <w:pPr>
        <w:snapToGrid w:val="0"/>
        <w:rPr>
          <w:rFonts w:ascii="宋体" w:eastAsia="宋体" w:hAnsi="宋体" w:cs="Times New Roman"/>
          <w:sz w:val="24"/>
          <w:szCs w:val="24"/>
        </w:rPr>
      </w:pPr>
    </w:p>
    <w:p w:rsidR="004E10C3" w:rsidRPr="004E10C3" w:rsidRDefault="004E10C3" w:rsidP="004E10C3">
      <w:pPr>
        <w:snapToGrid w:val="0"/>
        <w:jc w:val="center"/>
        <w:rPr>
          <w:rFonts w:ascii="宋体" w:eastAsia="宋体" w:hAnsi="宋体" w:cs="Times New Roman"/>
          <w:sz w:val="24"/>
          <w:szCs w:val="24"/>
        </w:rPr>
      </w:pPr>
      <w:r w:rsidRPr="004E10C3">
        <w:rPr>
          <w:rFonts w:ascii="宋体" w:eastAsia="宋体" w:hAnsi="宋体" w:cs="Times New Roman" w:hint="eastAsia"/>
          <w:sz w:val="24"/>
          <w:szCs w:val="24"/>
        </w:rPr>
        <w:t>第三章　伦理委员会的职责要求</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第十三条　伦理委员会应根据伦理审查工作的需要不断完善组织管理和制度建设，履行保护受试者的安全和权益的职责。</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第十四条　伦理委员会应当对申请人提交的药物临床试验项目的伦理问题进行独立、公正、公平和及时的审查。伦理委员会除对本机构所承担实施的所有药物临床试验项目进行审查监督外，也可对其他机构委托的临床试验项目进行审查。</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第十五条　伦理委员会对药物临床试验进行审查监督可以行使如下权力：</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（一）批准/不批准一项药物临床试验；</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（二）对批准的临床试验进行跟踪审查；</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（三）终止或暂停已经批准的临床试验。</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第十六条　伦理委员会成立后应及时向国家食品药品监督管理局和所在地省级食品药品监督管理部门备案。备案时应提交如下资料：伦理委员会主任委员和委员名单（附简历）、伦理委员会章程、伦理委员会相关工作程序和制度。</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第十七条　伦理委员会应向国家食品药品监督管理局和所在地省级食品药品监督管理部门报告年度伦理审查工作情况。</w:t>
      </w:r>
    </w:p>
    <w:p w:rsidR="004E10C3" w:rsidRPr="004E10C3" w:rsidRDefault="004E10C3" w:rsidP="004E10C3">
      <w:pPr>
        <w:snapToGrid w:val="0"/>
        <w:rPr>
          <w:rFonts w:ascii="宋体" w:eastAsia="宋体" w:hAnsi="宋体" w:cs="Times New Roman"/>
          <w:sz w:val="24"/>
          <w:szCs w:val="24"/>
        </w:rPr>
      </w:pPr>
    </w:p>
    <w:p w:rsidR="004E10C3" w:rsidRPr="004E10C3" w:rsidRDefault="004E10C3" w:rsidP="004E10C3">
      <w:pPr>
        <w:snapToGrid w:val="0"/>
        <w:jc w:val="center"/>
        <w:rPr>
          <w:rFonts w:ascii="宋体" w:eastAsia="宋体" w:hAnsi="宋体" w:cs="Times New Roman"/>
          <w:sz w:val="24"/>
          <w:szCs w:val="24"/>
        </w:rPr>
      </w:pPr>
      <w:r w:rsidRPr="004E10C3">
        <w:rPr>
          <w:rFonts w:ascii="宋体" w:eastAsia="宋体" w:hAnsi="宋体" w:cs="Times New Roman" w:hint="eastAsia"/>
          <w:sz w:val="24"/>
          <w:szCs w:val="24"/>
        </w:rPr>
        <w:t>第四章　伦理审查的申请与受理</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第十八条　伦理委员会应为伦理审查申请人提供涉及伦理审查事项的咨询服务，提供审查申请所需要的申请表格、知情同意书及其他文件的范本；伦理委员会应就受理伦理审查申请的相关事宜作出明确规定。</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（一）应明确提交伦理审查必须的文件目录和审查所需的文件份数；</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（二）应明确受理审查申请的基本要求、形式、标准、时限和程序；</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（三）应明确提交和受理更改申请、补充申请的基本要求、时限、程序、文件资料的条件与要求等。</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第十九条　伦理委员会在收到伦理审查申请人的申请后，对于提交的审查文件资料不齐全或不符合规定要求的，应当一次性告知伦理审查申请人需要补正的内容。</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伦理委员会受理伦理审查申请后应告知申请人召开伦理审查会议的预期时间。</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第二十条　伦理审查申请人须按伦理委员会的规定和要求向伦理委员会提交伦理审查申请。提交伦理审查申请的文件，包括（但不限于下述文件内容）：</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（一）伦理审查申请表（签名并注明日期）；</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（二）临床试验方案（注明版本号和日期）；</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（三）知情同意书（注明版本号和日期）；</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（四）招募受试者的相关材料；</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（五）病例报告表；</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lastRenderedPageBreak/>
        <w:t xml:space="preserve">　　（六）研究者手册；</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（七）主要研究者履历；</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（八）国家食品药品监督管理局《药物临床试验批件》；</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（九）其他伦理委员会对申请研究项目的重要决定的说明，应提供以前否定结论的理由；</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（十）试验药物的合格检验报告。</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第二十一条　伦理委员会决定受理项目的审查方式，选择主审委员，必要时聘请独立顾问。</w:t>
      </w:r>
    </w:p>
    <w:p w:rsidR="004E10C3" w:rsidRPr="004E10C3" w:rsidRDefault="004E10C3" w:rsidP="004E10C3">
      <w:pPr>
        <w:snapToGrid w:val="0"/>
        <w:rPr>
          <w:rFonts w:ascii="宋体" w:eastAsia="宋体" w:hAnsi="宋体" w:cs="Times New Roman"/>
          <w:sz w:val="24"/>
          <w:szCs w:val="24"/>
        </w:rPr>
      </w:pPr>
    </w:p>
    <w:p w:rsidR="004E10C3" w:rsidRPr="004E10C3" w:rsidRDefault="004E10C3" w:rsidP="004E10C3">
      <w:pPr>
        <w:snapToGrid w:val="0"/>
        <w:jc w:val="center"/>
        <w:rPr>
          <w:rFonts w:ascii="宋体" w:eastAsia="宋体" w:hAnsi="宋体" w:cs="Times New Roman"/>
          <w:sz w:val="24"/>
          <w:szCs w:val="24"/>
        </w:rPr>
      </w:pPr>
      <w:r w:rsidRPr="004E10C3">
        <w:rPr>
          <w:rFonts w:ascii="宋体" w:eastAsia="宋体" w:hAnsi="宋体" w:cs="Times New Roman" w:hint="eastAsia"/>
          <w:sz w:val="24"/>
          <w:szCs w:val="24"/>
        </w:rPr>
        <w:t>第五章　伦理委员会的伦理审查</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第二十二条　伦理委员会应规定召开审查会议所需的法定到会人数。最少到会委员人数应超过半数成员，并不少于五人。到会委员应包括医药专业、非医药专业，独立于研究/试验单位之外的人员、不同性别的人员。</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第二十三条　主任委员（或被授权者）主持伦理委员会会议。必要时可邀请独立顾问参会提供咨询意见；主要研究者/申办者可参加会议阐述方案或就特定问题作详细说明。伦理委员会秘书应归纳会议讨论内容和审查决定，形成会议记录。会议记录应有批准程序。</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第二十四条　伦理委员会可建立“主审制”：伦理委员会根据专业相关以及伦理问题相关的原则，可以为每个项目指定一至两名主审委员。</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第二十五条　伦理委员会审查以会议审查为主要审查方式。有下列情形之一的，可实施快速审查：</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（一）对伦理委员会已批准的临床试验方案的较小修正，不影响试验的风险受益比；</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（二）尚未纳入受试者，或已完成干预措施的试验项目的年度/定期跟踪审查；</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（三）预期的严重不良事件审查。</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第二十六条　快速审查由一至两名委员负责审查。快速审查同意的试验项目应在下一次伦理委员会会议上通报。有下列情形之一的，快速审查项目应转入会议审查：</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（一）审查为否定性意见；</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（二）两名委员的意见不一致；</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（三）委员提出需要会议审查。</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第二十七条　研究过程中出现重大或严重问题，危及受试者安全时，伦理委员会应召开紧急会议进行审查，必要时应采取相应措施，保护受试者的安全与权益。</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第二十八条　伦理审查的主要内容（附1）：</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（一）研究方案的设计与实施；</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（二）试验的风险与受益；</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（三）受试者的招募；</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（四）知情同意书告知的信息；</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（五）知情同意的过程；</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（六）受试者的医疗和保护；</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（七）隐私和保密；</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（八）涉及弱势群体的研究。</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lastRenderedPageBreak/>
        <w:t xml:space="preserve">　　第二十九条　为保证伦理审查和审查会议的质量，伦理委员会应对伦理审查质量进行管理和控制，伦理审查会议应按规定的程序和议程进行，应对审查文件进行充分讨论，确保委员对讨论的问题能充分发表各自的不同意见。</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第三十条　伦理审查会议应特别关注试验的科学性、安全性、公平性、受试者保护、知情同意文书及知情同意过程、利益冲突等问题。</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第三十一条　多中心临床试验的伦理审查应以审查的一致性和及时性为基本原则。多中心临床试验可建立协作审查的工作程序：</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（一）组长单位伦理委员会负责审查试验方案的科学性和伦理合理性。</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二）各参加单位伦理委员会在接受组长单位伦理委员会的审查意见的前提下，负责审查该项试验在本机构的可行性，包括机构研究者的资格、经验与是否有充分的时间参加临床试验，人员配备与设备条件。参加单位伦理委员会有权批准或不批准在其机构进行的研究。</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（三）参加单位伦理委员会审查认为必须做出的修改方案的建议，应形成书面文件并通报给申办者或负责整个试验计划的试验机构，供其考虑和形成一致意见，以确保各中心遵循同一试验方案。</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四）各中心的伦理委员会应对本机构的临床试验实施情况进行跟踪审查。发生严重不良事件，所在机构的伦理委员会应负责及时审查，并将审查意见通报申办者。基于对受试者的安全考虑，各中心的伦理委员会均有权中止试验在其机构继续进行。</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（五）组长单位对临床试验的跟踪审查意见应及时让各参加单位备案。</w:t>
      </w:r>
    </w:p>
    <w:p w:rsidR="004E10C3" w:rsidRPr="004E10C3" w:rsidRDefault="004E10C3" w:rsidP="004E10C3">
      <w:pPr>
        <w:snapToGrid w:val="0"/>
        <w:rPr>
          <w:rFonts w:ascii="宋体" w:eastAsia="宋体" w:hAnsi="宋体" w:cs="Times New Roman"/>
          <w:sz w:val="24"/>
          <w:szCs w:val="24"/>
        </w:rPr>
      </w:pPr>
    </w:p>
    <w:p w:rsidR="004E10C3" w:rsidRPr="004E10C3" w:rsidRDefault="004E10C3" w:rsidP="004E10C3">
      <w:pPr>
        <w:snapToGrid w:val="0"/>
        <w:jc w:val="center"/>
        <w:rPr>
          <w:rFonts w:ascii="宋体" w:eastAsia="宋体" w:hAnsi="宋体" w:cs="Times New Roman"/>
          <w:sz w:val="24"/>
          <w:szCs w:val="24"/>
        </w:rPr>
      </w:pPr>
      <w:r w:rsidRPr="004E10C3">
        <w:rPr>
          <w:rFonts w:ascii="宋体" w:eastAsia="宋体" w:hAnsi="宋体" w:cs="Times New Roman" w:hint="eastAsia"/>
          <w:sz w:val="24"/>
          <w:szCs w:val="24"/>
        </w:rPr>
        <w:t>第六章　伦理审查的决定与送达</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第三十二条　伦理审查会议以投票表决的方式作出决定，以超过到会委员半数意见作为伦理委员会审查决定。</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第三十三条　伦理委员会在作审查决定时，应符合以下条件：</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（一）申请文件齐全；</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（二）到会委员符合法定人数的规定；</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（三）遵循审查程序，对审查要点进行全面审查和充分讨论；</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（四）讨论和投票时，申请人和存在利益冲突的委员离场；</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（五）未参加审查会议的委员不得由其他委员代替投票。</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第三十四条　批准临床试验项目必须至少符合以下标准：</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（一）对预期的试验风险采取了相应的风险控制管理措施；</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（二）受试者的风险相对于预期受益来说是合理的；</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（三）受试者的选择是公平和公正的；</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（四）知情同意书告知信息充分，获取知情同意过程符合规定；</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（五）如有需要，试验方案应有充分的数据与安全监察计划，以保证受试者的安全；</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（六）保护受试者的隐私和保证数据的保密性；</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（七）涉及弱势群体的研究，具有相应的特殊保护措施。</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第三十五条　伦理委员会的审查意见有以下几种情形：</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（一）同意；</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（二）作必要的修正后同意；</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（三）作必要的修正后重审；</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（四）不同意；</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lastRenderedPageBreak/>
        <w:t xml:space="preserve">　　（五）终止或暂停已经批准的临床试验。</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第三十六条　伦理委员会秘书应在会后及时整理会议记录，并根据会议记录和审查结论形成书面的伦理审查意见/批件。伦理审查意见/批件应有主任委员（或被授权者）签名，伦理委员会盖章。伦理审查意见/批件的信息包括：</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（一）基本信息</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1. 试验项目信息：项目名称、申办者、审查意见/批件号；</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2. 临床试验机构和研究者；</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3. 会议信息：会议时间、地点、审查类别、审查的文件，其中临床试验方案与知情同意书均应注明版本号/日期；</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4. 伦理审查批件/意见的签发日期；</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5. 伦理委员会联系人和联系方式。</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（二）审查意见和决定</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1. 审查决定为“同意”时，同时告知伦理委员会实施跟踪审查的要求； </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2. 审查决定为“作必要修正后同意”和“作必要修正后重审”时，详细说明修正意见，并告知再次提交方案的要求和流程；</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3. 审查决定为“不同意”和“终止或暂停已经批准的临床试验”时，必须充分说明理由，并告知申请人可就有关事项做出解释或提出申诉。</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第三十七条　伦理审查意见/批件经伦理委员会主任委员（或授权者）审核签字后，应及时传达给申请人。</w:t>
      </w:r>
    </w:p>
    <w:p w:rsidR="004E10C3" w:rsidRPr="004E10C3" w:rsidRDefault="004E10C3" w:rsidP="004E10C3">
      <w:pPr>
        <w:snapToGrid w:val="0"/>
        <w:rPr>
          <w:rFonts w:ascii="宋体" w:eastAsia="宋体" w:hAnsi="宋体" w:cs="Times New Roman"/>
          <w:sz w:val="24"/>
          <w:szCs w:val="24"/>
        </w:rPr>
      </w:pPr>
    </w:p>
    <w:p w:rsidR="004E10C3" w:rsidRPr="004E10C3" w:rsidRDefault="004E10C3" w:rsidP="004E10C3">
      <w:pPr>
        <w:snapToGrid w:val="0"/>
        <w:jc w:val="center"/>
        <w:rPr>
          <w:rFonts w:ascii="宋体" w:eastAsia="宋体" w:hAnsi="宋体" w:cs="Times New Roman"/>
          <w:sz w:val="24"/>
          <w:szCs w:val="24"/>
        </w:rPr>
      </w:pPr>
      <w:r w:rsidRPr="004E10C3">
        <w:rPr>
          <w:rFonts w:ascii="宋体" w:eastAsia="宋体" w:hAnsi="宋体" w:cs="Times New Roman" w:hint="eastAsia"/>
          <w:sz w:val="24"/>
          <w:szCs w:val="24"/>
        </w:rPr>
        <w:t>第七章　伦理审查后的跟踪审查</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第三十八条　伦理委员会应对所有批准的临床试验进行跟踪审查，直至试验结束。</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第三十九条　修正案审查是指对试验过程中试验方案的任何修改的审查。试验过程中对试验方案的任何修改均应提交伦理委员会审查批准后方可实施。伦理委员会应要求申办者和/或研究者就修正案审查提交相关信息，包括（但不限于）：</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（一）修改的内容及修改原因；</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（二）修改方案对预期风险和受益的影响；</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（三）修改方案对受试者权益与安全的影响。</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伦理委员会主要针对方案修改后的试验风险和受益进行评估，做出审查意见。为了避免对受试者造成紧急伤害而修改方案，研究者可以在提交伦理委员会审查批准前实施，事后及时向伦理委员会作书面报告。</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第四十条　年度/定期跟踪审查。伦理委员会初始审查时应根据试验的风险程度，决定年度/定期跟踪审查的频率，至少每年一次。伦理委员会应要求研究者按时提交报告，年度/定期跟踪审查报告信息包括（但不限于）：</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（一）试验的进展；</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（二）受试者纳入例数，完成例数，退出例数等；</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（三）确认严重不良事件及时上报，妥善处理；</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（四）可能影响研究风险受益的任何事件或新信息。</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伦理委员会在审查研究进展情况后，再次评估试验的风险与受益。</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第四十一条　严重不良事件的审查是指对申办者和/或研究者报告的严重不良事件的审查，包括严重不良事件的程度与范围，对试验风险受益的影响，以及受试者的医疗保护措施。</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第四十二条　不依从/违背方案的审查是指对临床试验进行中发生的不依从</w:t>
      </w:r>
      <w:r w:rsidRPr="004E10C3">
        <w:rPr>
          <w:rFonts w:ascii="宋体" w:eastAsia="宋体" w:hAnsi="宋体" w:cs="Times New Roman" w:hint="eastAsia"/>
          <w:sz w:val="24"/>
          <w:szCs w:val="24"/>
        </w:rPr>
        <w:lastRenderedPageBreak/>
        <w:t>/违背方案事件的审查。伦理委员会应要求申办者和/或研究者就事件的原因、影响及处理措施予以说明，审查该事件是否影响受试者的安全和权益、是否影响试验的风险受益。</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第四十三条　提前终止试验的审查是指对申办者和/或研究者提前终止试验的审查。伦理委员会应要求申办者和/或研究者报告提前终止试验的原因，以及对受试者的后续处理，审查受试者的安全和权益是否得到保证。</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第四十四条　结题审查是指对临床试验结题报告的审查。伦理委员会应要求申办者和/或研究者报告试验的完成情况，审查受试者安全和权益的保护。</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第四十五条　跟踪审查的决定及其理由应及时传达给申请人。</w:t>
      </w:r>
    </w:p>
    <w:p w:rsidR="004E10C3" w:rsidRPr="004E10C3" w:rsidRDefault="004E10C3" w:rsidP="004E10C3">
      <w:pPr>
        <w:snapToGrid w:val="0"/>
        <w:rPr>
          <w:rFonts w:ascii="宋体" w:eastAsia="宋体" w:hAnsi="宋体" w:cs="Times New Roman"/>
          <w:sz w:val="24"/>
          <w:szCs w:val="24"/>
        </w:rPr>
      </w:pPr>
    </w:p>
    <w:p w:rsidR="004E10C3" w:rsidRPr="004E10C3" w:rsidRDefault="004E10C3" w:rsidP="004E10C3">
      <w:pPr>
        <w:snapToGrid w:val="0"/>
        <w:jc w:val="center"/>
        <w:rPr>
          <w:rFonts w:ascii="宋体" w:eastAsia="宋体" w:hAnsi="宋体" w:cs="Times New Roman"/>
          <w:sz w:val="24"/>
          <w:szCs w:val="24"/>
        </w:rPr>
      </w:pPr>
      <w:r w:rsidRPr="004E10C3">
        <w:rPr>
          <w:rFonts w:ascii="宋体" w:eastAsia="宋体" w:hAnsi="宋体" w:cs="Times New Roman" w:hint="eastAsia"/>
          <w:sz w:val="24"/>
          <w:szCs w:val="24"/>
        </w:rPr>
        <w:t>第八章　伦理委员会审查文件的管理</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第四十六条　伦理委员会应有独立的档案文件管理系统。伦理委员会建档存档的文件包括管理文件和项目审查文件。</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第四十七条　伦理委员会管理文件包括（但不限于）：</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（一）伦理委员会的工作制度、岗位职责、标准操作规程和伦理审查申请指南；</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（二）伦理委员会的委员任命文件，委员的履历与培训记录，以及委员签署的保密协议和利益冲突声明；</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（三）伦理委员会年度工作计划和总结。</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第四十八条　伦理委员会试验项目审查文件包括: </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（一）研究者/申办者提交的所有送审材料；</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（二）伦理审查工作表、会议签到表、投票单、会议记录、伦理委员会批件/意见和相关沟通信件。</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伦理审查文件应妥善保管至临床试验结束后五年，或根据相关要求延长保存期限。存档的文件目录见附2。</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第四十九条　伦理委员会应对文件的查阅和复印作出相关规定，以保证文件档案的安全和保密性。</w:t>
      </w:r>
    </w:p>
    <w:p w:rsidR="004E10C3" w:rsidRPr="004E10C3" w:rsidRDefault="004E10C3" w:rsidP="004E10C3">
      <w:pPr>
        <w:snapToGrid w:val="0"/>
        <w:rPr>
          <w:rFonts w:ascii="宋体" w:eastAsia="宋体" w:hAnsi="宋体" w:cs="Times New Roman"/>
          <w:sz w:val="24"/>
          <w:szCs w:val="24"/>
        </w:rPr>
      </w:pPr>
    </w:p>
    <w:p w:rsidR="004E10C3" w:rsidRPr="004E10C3" w:rsidRDefault="004E10C3" w:rsidP="004E10C3">
      <w:pPr>
        <w:snapToGrid w:val="0"/>
        <w:jc w:val="center"/>
        <w:rPr>
          <w:rFonts w:ascii="宋体" w:eastAsia="宋体" w:hAnsi="宋体" w:cs="Times New Roman"/>
          <w:sz w:val="24"/>
          <w:szCs w:val="24"/>
        </w:rPr>
      </w:pPr>
      <w:r w:rsidRPr="004E10C3">
        <w:rPr>
          <w:rFonts w:ascii="宋体" w:eastAsia="宋体" w:hAnsi="宋体" w:cs="Times New Roman" w:hint="eastAsia"/>
          <w:sz w:val="24"/>
          <w:szCs w:val="24"/>
        </w:rPr>
        <w:t>第九章　附　则</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第五十条　伦理委员会之间可建立信息交流与工作合作机制，以促进伦理审查能力的提高。</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第五十一条　本指导原则施行前已经成立的伦理委员会，应当自本指导原则实施之日起一年内参照本指导原则的有关要求完善组织管理与制度建设并向国家食品药品监督管理局和所在地省级食品药品监督管理部门备案。</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第五十二条　本指导原则自发布之日起施行。</w:t>
      </w:r>
    </w:p>
    <w:p w:rsidR="004E10C3" w:rsidRPr="004E10C3" w:rsidRDefault="004E10C3" w:rsidP="004E10C3">
      <w:pPr>
        <w:snapToGrid w:val="0"/>
        <w:rPr>
          <w:rFonts w:ascii="仿宋_GB2312" w:eastAsia="仿宋_GB2312" w:hAnsi="Times New Roman" w:cs="Times New Roman"/>
          <w:sz w:val="28"/>
          <w:szCs w:val="28"/>
        </w:rPr>
      </w:pPr>
    </w:p>
    <w:p w:rsidR="004E10C3" w:rsidRPr="004E10C3" w:rsidRDefault="004E10C3" w:rsidP="004E10C3">
      <w:pPr>
        <w:snapToGrid w:val="0"/>
        <w:rPr>
          <w:rFonts w:ascii="仿宋_GB2312" w:eastAsia="仿宋_GB2312" w:hAnsi="Times New Roman" w:cs="Times New Roman"/>
          <w:sz w:val="28"/>
          <w:szCs w:val="28"/>
        </w:rPr>
      </w:pPr>
    </w:p>
    <w:p w:rsidR="004E10C3" w:rsidRPr="004E10C3" w:rsidRDefault="004E10C3" w:rsidP="004E10C3">
      <w:pPr>
        <w:snapToGrid w:val="0"/>
        <w:rPr>
          <w:rFonts w:ascii="仿宋_GB2312" w:eastAsia="仿宋_GB2312" w:hAnsi="Times New Roman" w:cs="Times New Roman"/>
          <w:sz w:val="28"/>
          <w:szCs w:val="28"/>
        </w:rPr>
      </w:pPr>
    </w:p>
    <w:p w:rsidR="004E10C3" w:rsidRPr="004E10C3" w:rsidRDefault="004E10C3" w:rsidP="004E10C3">
      <w:pPr>
        <w:widowControl/>
        <w:jc w:val="left"/>
        <w:rPr>
          <w:rFonts w:ascii="仿宋_GB2312" w:eastAsia="仿宋_GB2312" w:hAnsi="Times New Roman" w:cs="Times New Roman"/>
          <w:sz w:val="28"/>
          <w:szCs w:val="28"/>
        </w:rPr>
      </w:pPr>
      <w:r>
        <w:rPr>
          <w:rFonts w:ascii="仿宋_GB2312" w:eastAsia="仿宋_GB2312" w:hAnsi="Times New Roman" w:cs="Times New Roman"/>
          <w:sz w:val="28"/>
          <w:szCs w:val="28"/>
        </w:rPr>
        <w:br w:type="page"/>
      </w:r>
    </w:p>
    <w:p w:rsidR="004E10C3" w:rsidRPr="004E10C3" w:rsidRDefault="004E10C3" w:rsidP="004E10C3">
      <w:pPr>
        <w:snapToGrid w:val="0"/>
        <w:rPr>
          <w:rFonts w:ascii="仿宋_GB2312" w:eastAsia="仿宋_GB2312" w:hAnsi="Times New Roman" w:cs="Times New Roman"/>
          <w:sz w:val="28"/>
          <w:szCs w:val="28"/>
        </w:rPr>
      </w:pPr>
      <w:r w:rsidRPr="004E10C3">
        <w:rPr>
          <w:rFonts w:ascii="仿宋_GB2312" w:eastAsia="仿宋_GB2312" w:hAnsi="Times New Roman" w:cs="Times New Roman" w:hint="eastAsia"/>
          <w:sz w:val="28"/>
          <w:szCs w:val="28"/>
        </w:rPr>
        <w:lastRenderedPageBreak/>
        <w:t>附1：</w:t>
      </w:r>
    </w:p>
    <w:p w:rsidR="004E10C3" w:rsidRPr="004E10C3" w:rsidRDefault="004E10C3" w:rsidP="004E10C3">
      <w:pPr>
        <w:snapToGrid w:val="0"/>
        <w:jc w:val="center"/>
        <w:rPr>
          <w:rFonts w:ascii="仿宋_GB2312" w:eastAsia="仿宋_GB2312" w:hAnsi="Times New Roman" w:cs="Times New Roman"/>
          <w:b/>
          <w:sz w:val="28"/>
          <w:szCs w:val="28"/>
        </w:rPr>
      </w:pPr>
      <w:r w:rsidRPr="004E10C3">
        <w:rPr>
          <w:rFonts w:ascii="仿宋_GB2312" w:eastAsia="仿宋_GB2312" w:hAnsi="Times New Roman" w:cs="Times New Roman" w:hint="eastAsia"/>
          <w:b/>
          <w:sz w:val="28"/>
          <w:szCs w:val="28"/>
        </w:rPr>
        <w:t>伦理审查的主要内容</w:t>
      </w:r>
    </w:p>
    <w:p w:rsidR="004E10C3" w:rsidRPr="004E10C3" w:rsidRDefault="004E10C3" w:rsidP="004E10C3">
      <w:pPr>
        <w:snapToGrid w:val="0"/>
        <w:rPr>
          <w:rFonts w:ascii="宋体" w:eastAsia="宋体" w:hAnsi="宋体" w:cs="Times New Roman"/>
          <w:sz w:val="24"/>
          <w:szCs w:val="24"/>
        </w:rPr>
      </w:pPr>
      <w:r w:rsidRPr="004E10C3">
        <w:rPr>
          <w:rFonts w:ascii="仿宋_GB2312" w:eastAsia="仿宋_GB2312" w:hAnsi="Times New Roman" w:cs="Times New Roman" w:hint="eastAsia"/>
          <w:sz w:val="28"/>
          <w:szCs w:val="28"/>
        </w:rPr>
        <w:t xml:space="preserve">　　</w:t>
      </w:r>
      <w:r w:rsidRPr="004E10C3">
        <w:rPr>
          <w:rFonts w:ascii="宋体" w:eastAsia="宋体" w:hAnsi="宋体" w:cs="Times New Roman" w:hint="eastAsia"/>
          <w:sz w:val="24"/>
          <w:szCs w:val="24"/>
        </w:rPr>
        <w:t>1. 试验方案的设计与实施</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1.1 试验符合公认的科学原理，基于文献以及充分的实验室研究和动物实验。</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1.2 与试验目的有关的试验设计和对照组设置的合理性。</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1.3 受试者提前退出试验的标准，暂停或终止试验的标准。</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1.4 试验实施过程中的监查和稽查计划，包括必要时成立独立的数据与安全监察委员会。</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1.5 研究者的资格与经验、并有充分的时间开展临床试验，人员配备及设备条件等符合试验要求。</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1.6 临床试验结果报告和发表的方式。</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2. 试验的风险与受益</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2.1 试验风险的性质、程度与发生概率的评估。</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2.2 风险在可能的范围内最小化。</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2.3 预期受益的评估：受试者的受益和社会的受益。</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2.4 试验风险与受益的合理性：①对受试者有直接受益前景的试验，预期受益与风险应至少与目前可获得的替代治疗的受益与风险相当。试验风险相对于受试者预期的受益而言必须是合理的；②对受试者没有直接受益前景的试验，风险相对于社会预期受益而言，必须是合理的。</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3. 受试者的招募</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3.1 受试者的人群特征（包括性别、年龄、种族等）。</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3.2 试验的受益和风险在目标疾病人群中公平和公正分配。</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3.3 拟采取的招募方式和方法。</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3.4 向受试者或其代表告知有关试验信息的方式。</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3.5 受试者的纳入与排除标准。</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4. 知情同意书告知的信息</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4.1 试验目的、应遵循的试验步骤（包括所有侵入性操作）、试验期限。</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4.2 预期的受试者的风险和不便。</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4.3 预期的受益。当受试者没有直接受益时，应告知受试者。</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4.4 受试者可获得的备选治疗，以及备选治疗重要的潜在风险和受益。</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4.5 受试者参加试验是否获得报酬。</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4.6 受试者参加试验是否需要承担费用。</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4.7 能识别受试者身份的有关记录的保密程度，并说明必要时，试验项目申办者、伦理委员会、政府管理部门按规定可以查阅参加试验的受试者资料。</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4.8 如发生与试验相关的损害时，受试者可以获得的治疗和相应的补偿。</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4.9 说明参加试验是自愿的，可以拒绝参加或有权在试验的任何阶段随时退出试验而不会遭到歧视或报复，其医疗待遇与权益不会受到影响。</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4.10 当存在有关试验和受试者权利的问题，以及发生试验相关伤害时，有联系人及联系方式。</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5. 知情同意的过程</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5.1 知情同意应符合完全告知、充分理解、自主选择的原则。</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5.2 知情同意的表述应通俗易懂，适合该受试者群体理解的水平。</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5.3 对如何获得知情同意有详细的描述，包括明确由谁负责获取知情同意，以及签署知情同意书的规定。</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lastRenderedPageBreak/>
        <w:t xml:space="preserve">　　5.4 计划纳入不能表达知情同意者作为受试者时，理由充分正当，对如何获得知情同意或授权同意有详细说明。</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5.5 在研究过程中听取并答复受试者或其代表的疑问和意见的规定。</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6. 受试者的医疗和保护</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6.1 研究人员资格和经验与试验的要求相适应。</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6.2 因试验目的而不给予标准治疗的理由。</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6.3 在试验过程中和试验结束后，为受试者提供的医疗保障。</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6.4 为受试者提供适当的医疗监测、心理与社会支持。</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6.5 受试者自愿退出试验时拟采取的措施。</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6.6 延长使用、紧急使用或出于同情而提供试验用药的标准。</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6.7 试验结束后，是否继续向受试者提供试验用药的说明。 </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6.8 受试者需要支付的费用说明。</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6.9 提供受试者的补偿（包括现金、服务、和/或礼物）。</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6.10 由于参加试验造成受试者的损害/残疾/死亡时提供的补偿或治疗。</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6.11 保险和损害赔偿。</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7. 隐私和保密</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7.1 可以查阅受试者个人信息（包括病历记录、生物学标本）人员的规定。</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7.2 确保受试者个人信息保密和安全的措施。</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8. 涉及弱势群体的试验</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8.1 唯有以该弱势人群作为受试者，试验才能很好地进行。</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8.2 试验针对该弱势群体特有的疾病或健康问题。</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8.3 当试验对弱势群体受试者不提供直接受益可能，试验风险一般不得大于最小风险，除非伦理委员会同意风险程度可略有增加。</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8.4 当受试者不能给予充分知情同意时，要获得其法定代理人的知情同意，如有可能还应同时获得受试者本人的同意。</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9. 涉及特殊疾病人群、特定地区人群/族群的试验</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9.1 该试验对特殊疾病人群、特定地区人群/族群造成的影响。</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9.2 外界因素对个人知情同意的影响。</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9.3 试验过程中，计划向该人群进行咨询。</w:t>
      </w:r>
    </w:p>
    <w:p w:rsidR="004E10C3" w:rsidRDefault="004E10C3" w:rsidP="004E10C3">
      <w:pPr>
        <w:snapToGrid w:val="0"/>
        <w:ind w:firstLine="480"/>
        <w:rPr>
          <w:rFonts w:ascii="宋体" w:eastAsia="宋体" w:hAnsi="宋体" w:cs="Times New Roman"/>
          <w:sz w:val="24"/>
          <w:szCs w:val="24"/>
        </w:rPr>
      </w:pPr>
      <w:r w:rsidRPr="004E10C3">
        <w:rPr>
          <w:rFonts w:ascii="宋体" w:eastAsia="宋体" w:hAnsi="宋体" w:cs="Times New Roman" w:hint="eastAsia"/>
          <w:sz w:val="24"/>
          <w:szCs w:val="24"/>
        </w:rPr>
        <w:t>9.4 该试验有利于当地的发展，如加强当地的医疗保健服务，提升研究能力，以及应对公共卫生需求的能力。</w:t>
      </w:r>
    </w:p>
    <w:p w:rsidR="004E10C3" w:rsidRPr="004E10C3" w:rsidRDefault="004E10C3" w:rsidP="004E10C3">
      <w:pPr>
        <w:widowControl/>
        <w:jc w:val="left"/>
        <w:rPr>
          <w:rFonts w:ascii="宋体" w:eastAsia="宋体" w:hAnsi="宋体" w:cs="Times New Roman"/>
          <w:sz w:val="24"/>
          <w:szCs w:val="24"/>
        </w:rPr>
      </w:pPr>
      <w:r>
        <w:rPr>
          <w:rFonts w:ascii="宋体" w:eastAsia="宋体" w:hAnsi="宋体" w:cs="Times New Roman"/>
          <w:sz w:val="24"/>
          <w:szCs w:val="24"/>
        </w:rPr>
        <w:br w:type="page"/>
      </w:r>
    </w:p>
    <w:p w:rsidR="004E10C3" w:rsidRPr="004E10C3" w:rsidRDefault="004E10C3" w:rsidP="004E10C3">
      <w:pPr>
        <w:snapToGrid w:val="0"/>
        <w:rPr>
          <w:rFonts w:ascii="仿宋_GB2312" w:eastAsia="仿宋_GB2312" w:hAnsi="Times New Roman" w:cs="Times New Roman"/>
          <w:sz w:val="28"/>
          <w:szCs w:val="28"/>
        </w:rPr>
      </w:pPr>
      <w:r w:rsidRPr="004E10C3">
        <w:rPr>
          <w:rFonts w:ascii="仿宋_GB2312" w:eastAsia="仿宋_GB2312" w:hAnsi="Times New Roman" w:cs="Times New Roman" w:hint="eastAsia"/>
          <w:sz w:val="28"/>
          <w:szCs w:val="28"/>
        </w:rPr>
        <w:lastRenderedPageBreak/>
        <w:t>附2：</w:t>
      </w:r>
    </w:p>
    <w:p w:rsidR="004E10C3" w:rsidRPr="004E10C3" w:rsidRDefault="004E10C3" w:rsidP="004E10C3">
      <w:pPr>
        <w:snapToGrid w:val="0"/>
        <w:jc w:val="center"/>
        <w:rPr>
          <w:rFonts w:ascii="仿宋_GB2312" w:eastAsia="仿宋_GB2312" w:hAnsi="Times New Roman" w:cs="Times New Roman"/>
          <w:b/>
          <w:sz w:val="28"/>
          <w:szCs w:val="28"/>
        </w:rPr>
      </w:pPr>
      <w:r w:rsidRPr="004E10C3">
        <w:rPr>
          <w:rFonts w:ascii="仿宋_GB2312" w:eastAsia="仿宋_GB2312" w:hAnsi="Times New Roman" w:cs="Times New Roman" w:hint="eastAsia"/>
          <w:b/>
          <w:sz w:val="28"/>
          <w:szCs w:val="28"/>
        </w:rPr>
        <w:t>伦理委员会存档的文件目录</w:t>
      </w:r>
    </w:p>
    <w:p w:rsidR="004E10C3" w:rsidRPr="004E10C3" w:rsidRDefault="004E10C3" w:rsidP="004E10C3">
      <w:pPr>
        <w:snapToGrid w:val="0"/>
        <w:rPr>
          <w:rFonts w:ascii="宋体" w:eastAsia="宋体" w:hAnsi="宋体" w:cs="Times New Roman"/>
          <w:sz w:val="24"/>
          <w:szCs w:val="24"/>
        </w:rPr>
      </w:pPr>
      <w:r w:rsidRPr="004E10C3">
        <w:rPr>
          <w:rFonts w:ascii="仿宋_GB2312" w:eastAsia="仿宋_GB2312" w:hAnsi="Times New Roman" w:cs="Times New Roman" w:hint="eastAsia"/>
          <w:sz w:val="28"/>
          <w:szCs w:val="28"/>
        </w:rPr>
        <w:t xml:space="preserve">　　</w:t>
      </w:r>
      <w:r w:rsidRPr="004E10C3">
        <w:rPr>
          <w:rFonts w:ascii="宋体" w:eastAsia="宋体" w:hAnsi="宋体" w:cs="Times New Roman" w:hint="eastAsia"/>
          <w:sz w:val="24"/>
          <w:szCs w:val="24"/>
        </w:rPr>
        <w:t>1. 管理文件类</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1.1 伦理委员会工作制度与人员职责。</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1.2 伦理委员会委员专业履历、任命文件。</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1.3 伦理委员会委员的培训文件。</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1.4 伦理审查申请指南。</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1.5 伦理委员会标准操作规程。</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1.6 临床试验主要伦理问题审查的技术指南。</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1.7 经费管理文件与记录。</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1.8 年度工作计划与工作总结。</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2. 项目审查文件类</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2.1 申请人提交的审查材料。</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2.2 受理通知书。</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2.3 伦理委员会审查工作表格。</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2.4 伦理委员会会议议程。</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2.5 伦理委员会会议签到表。</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2.6 伦理委员会的投票单。</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2.7 伦理委员会的会议记录。</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2.8 伦理审查意见/伦理审查批件。</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2.9 伦理审查申请人责任声明。</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2.10 伦理委员会与申请人或其他有关人员就申请、审查和跟踪审查问题的往来信件。</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2.11 跟踪审查的相关文件。</w:t>
      </w:r>
    </w:p>
    <w:p w:rsidR="004E10C3" w:rsidRPr="004E10C3" w:rsidRDefault="004E10C3" w:rsidP="004E10C3">
      <w:pPr>
        <w:snapToGrid w:val="0"/>
        <w:rPr>
          <w:rFonts w:ascii="仿宋_GB2312" w:eastAsia="仿宋_GB2312" w:hAnsi="Times New Roman" w:cs="Times New Roman"/>
          <w:sz w:val="28"/>
          <w:szCs w:val="28"/>
        </w:rPr>
      </w:pPr>
    </w:p>
    <w:p w:rsidR="004E10C3" w:rsidRPr="004E10C3" w:rsidRDefault="004E10C3" w:rsidP="004E10C3">
      <w:pPr>
        <w:snapToGrid w:val="0"/>
        <w:rPr>
          <w:rFonts w:ascii="仿宋_GB2312" w:eastAsia="仿宋_GB2312" w:hAnsi="Times New Roman" w:cs="Times New Roman"/>
          <w:sz w:val="28"/>
          <w:szCs w:val="28"/>
        </w:rPr>
      </w:pPr>
    </w:p>
    <w:p w:rsidR="004E10C3" w:rsidRPr="004E10C3" w:rsidRDefault="004E10C3" w:rsidP="004E10C3">
      <w:pPr>
        <w:snapToGrid w:val="0"/>
        <w:rPr>
          <w:rFonts w:ascii="仿宋_GB2312" w:eastAsia="仿宋_GB2312" w:hAnsi="Times New Roman" w:cs="Times New Roman"/>
          <w:sz w:val="28"/>
          <w:szCs w:val="28"/>
        </w:rPr>
      </w:pPr>
    </w:p>
    <w:p w:rsidR="004E10C3" w:rsidRPr="004E10C3" w:rsidRDefault="004E10C3" w:rsidP="004E10C3">
      <w:pPr>
        <w:snapToGrid w:val="0"/>
        <w:rPr>
          <w:rFonts w:ascii="仿宋_GB2312" w:eastAsia="仿宋_GB2312" w:hAnsi="Times New Roman" w:cs="Times New Roman"/>
          <w:sz w:val="28"/>
          <w:szCs w:val="28"/>
        </w:rPr>
      </w:pPr>
    </w:p>
    <w:p w:rsidR="004E10C3" w:rsidRPr="004E10C3" w:rsidRDefault="004E10C3" w:rsidP="004E10C3">
      <w:pPr>
        <w:snapToGrid w:val="0"/>
        <w:rPr>
          <w:rFonts w:ascii="仿宋_GB2312" w:eastAsia="仿宋_GB2312" w:hAnsi="Times New Roman" w:cs="Times New Roman"/>
          <w:sz w:val="28"/>
          <w:szCs w:val="28"/>
        </w:rPr>
      </w:pPr>
    </w:p>
    <w:p w:rsidR="004E10C3" w:rsidRPr="004E10C3" w:rsidRDefault="004E10C3" w:rsidP="004E10C3">
      <w:pPr>
        <w:snapToGrid w:val="0"/>
        <w:rPr>
          <w:rFonts w:ascii="仿宋_GB2312" w:eastAsia="仿宋_GB2312" w:hAnsi="Times New Roman" w:cs="Times New Roman"/>
          <w:sz w:val="28"/>
          <w:szCs w:val="28"/>
        </w:rPr>
      </w:pPr>
    </w:p>
    <w:p w:rsidR="004E10C3" w:rsidRPr="004E10C3" w:rsidRDefault="004E10C3" w:rsidP="004E10C3">
      <w:pPr>
        <w:snapToGrid w:val="0"/>
        <w:rPr>
          <w:rFonts w:ascii="仿宋_GB2312" w:eastAsia="仿宋_GB2312" w:hAnsi="Times New Roman" w:cs="Times New Roman"/>
          <w:sz w:val="28"/>
          <w:szCs w:val="28"/>
        </w:rPr>
      </w:pPr>
    </w:p>
    <w:p w:rsidR="004E10C3" w:rsidRPr="004E10C3" w:rsidRDefault="004E10C3" w:rsidP="004E10C3">
      <w:pPr>
        <w:snapToGrid w:val="0"/>
        <w:rPr>
          <w:rFonts w:ascii="仿宋_GB2312" w:eastAsia="仿宋_GB2312" w:hAnsi="Times New Roman" w:cs="Times New Roman"/>
          <w:sz w:val="28"/>
          <w:szCs w:val="28"/>
        </w:rPr>
      </w:pPr>
    </w:p>
    <w:p w:rsidR="004E10C3" w:rsidRPr="004E10C3" w:rsidRDefault="004E10C3" w:rsidP="004E10C3">
      <w:pPr>
        <w:snapToGrid w:val="0"/>
        <w:rPr>
          <w:rFonts w:ascii="仿宋_GB2312" w:eastAsia="仿宋_GB2312" w:hAnsi="Times New Roman" w:cs="Times New Roman"/>
          <w:sz w:val="28"/>
          <w:szCs w:val="28"/>
        </w:rPr>
      </w:pPr>
    </w:p>
    <w:p w:rsidR="004E10C3" w:rsidRPr="004E10C3" w:rsidRDefault="004E10C3" w:rsidP="004E10C3">
      <w:pPr>
        <w:snapToGrid w:val="0"/>
        <w:rPr>
          <w:rFonts w:ascii="仿宋_GB2312" w:eastAsia="仿宋_GB2312" w:hAnsi="Times New Roman" w:cs="Times New Roman"/>
          <w:sz w:val="28"/>
          <w:szCs w:val="28"/>
        </w:rPr>
      </w:pPr>
    </w:p>
    <w:p w:rsidR="004E10C3" w:rsidRPr="004E10C3" w:rsidRDefault="004E10C3" w:rsidP="004E10C3">
      <w:pPr>
        <w:snapToGrid w:val="0"/>
        <w:rPr>
          <w:rFonts w:ascii="仿宋_GB2312" w:eastAsia="仿宋_GB2312" w:hAnsi="Times New Roman" w:cs="Times New Roman"/>
          <w:sz w:val="28"/>
          <w:szCs w:val="28"/>
        </w:rPr>
      </w:pPr>
    </w:p>
    <w:p w:rsidR="004E10C3" w:rsidRPr="004E10C3" w:rsidRDefault="004E10C3" w:rsidP="004E10C3">
      <w:pPr>
        <w:snapToGrid w:val="0"/>
        <w:rPr>
          <w:rFonts w:ascii="仿宋_GB2312" w:eastAsia="仿宋_GB2312" w:hAnsi="Times New Roman" w:cs="Times New Roman"/>
          <w:sz w:val="28"/>
          <w:szCs w:val="28"/>
        </w:rPr>
      </w:pPr>
    </w:p>
    <w:p w:rsidR="004E10C3" w:rsidRPr="004E10C3" w:rsidRDefault="004E10C3" w:rsidP="004E10C3">
      <w:pPr>
        <w:snapToGrid w:val="0"/>
        <w:rPr>
          <w:rFonts w:ascii="仿宋_GB2312" w:eastAsia="仿宋_GB2312" w:hAnsi="Times New Roman" w:cs="Times New Roman"/>
          <w:sz w:val="28"/>
          <w:szCs w:val="28"/>
        </w:rPr>
      </w:pPr>
    </w:p>
    <w:p w:rsidR="004E10C3" w:rsidRPr="004E10C3" w:rsidRDefault="004E10C3" w:rsidP="004E10C3">
      <w:pPr>
        <w:snapToGrid w:val="0"/>
        <w:rPr>
          <w:rFonts w:ascii="仿宋_GB2312" w:eastAsia="仿宋_GB2312" w:hAnsi="Times New Roman" w:cs="Times New Roman"/>
          <w:sz w:val="28"/>
          <w:szCs w:val="28"/>
        </w:rPr>
      </w:pPr>
    </w:p>
    <w:p w:rsidR="004E10C3" w:rsidRPr="004E10C3" w:rsidRDefault="004E10C3" w:rsidP="004E10C3">
      <w:pPr>
        <w:snapToGrid w:val="0"/>
        <w:rPr>
          <w:rFonts w:ascii="仿宋_GB2312" w:eastAsia="仿宋_GB2312" w:hAnsi="Times New Roman" w:cs="Times New Roman"/>
          <w:sz w:val="28"/>
          <w:szCs w:val="28"/>
        </w:rPr>
      </w:pPr>
    </w:p>
    <w:p w:rsidR="004E10C3" w:rsidRPr="004E10C3" w:rsidRDefault="004E10C3" w:rsidP="004E10C3">
      <w:pPr>
        <w:widowControl/>
        <w:jc w:val="left"/>
        <w:rPr>
          <w:rFonts w:ascii="仿宋_GB2312" w:eastAsia="仿宋_GB2312" w:hAnsi="Times New Roman" w:cs="Times New Roman"/>
          <w:sz w:val="28"/>
          <w:szCs w:val="28"/>
        </w:rPr>
      </w:pPr>
      <w:r>
        <w:rPr>
          <w:rFonts w:ascii="仿宋_GB2312" w:eastAsia="仿宋_GB2312" w:hAnsi="Times New Roman" w:cs="Times New Roman"/>
          <w:sz w:val="28"/>
          <w:szCs w:val="28"/>
        </w:rPr>
        <w:br w:type="page"/>
      </w:r>
    </w:p>
    <w:p w:rsidR="004E10C3" w:rsidRPr="004E10C3" w:rsidRDefault="004E10C3" w:rsidP="004E10C3">
      <w:pPr>
        <w:snapToGrid w:val="0"/>
        <w:rPr>
          <w:rFonts w:ascii="仿宋_GB2312" w:eastAsia="仿宋_GB2312" w:hAnsi="Times New Roman" w:cs="Times New Roman"/>
          <w:sz w:val="28"/>
          <w:szCs w:val="28"/>
        </w:rPr>
      </w:pPr>
      <w:r w:rsidRPr="004E10C3">
        <w:rPr>
          <w:rFonts w:ascii="仿宋_GB2312" w:eastAsia="仿宋_GB2312" w:hAnsi="Times New Roman" w:cs="Times New Roman" w:hint="eastAsia"/>
          <w:sz w:val="28"/>
          <w:szCs w:val="28"/>
        </w:rPr>
        <w:lastRenderedPageBreak/>
        <w:t>附3：</w:t>
      </w:r>
    </w:p>
    <w:p w:rsidR="004E10C3" w:rsidRPr="004E10C3" w:rsidRDefault="004E10C3" w:rsidP="004E10C3">
      <w:pPr>
        <w:snapToGrid w:val="0"/>
        <w:jc w:val="center"/>
        <w:rPr>
          <w:rFonts w:ascii="仿宋_GB2312" w:eastAsia="仿宋_GB2312" w:hAnsi="Times New Roman" w:cs="Times New Roman"/>
          <w:b/>
          <w:sz w:val="28"/>
          <w:szCs w:val="28"/>
        </w:rPr>
      </w:pPr>
      <w:r w:rsidRPr="004E10C3">
        <w:rPr>
          <w:rFonts w:ascii="仿宋_GB2312" w:eastAsia="仿宋_GB2312" w:hAnsi="Times New Roman" w:cs="Times New Roman" w:hint="eastAsia"/>
          <w:b/>
          <w:sz w:val="28"/>
          <w:szCs w:val="28"/>
        </w:rPr>
        <w:t>术语表</w:t>
      </w:r>
    </w:p>
    <w:p w:rsidR="004E10C3" w:rsidRPr="004E10C3" w:rsidRDefault="004E10C3" w:rsidP="004E10C3">
      <w:pPr>
        <w:snapToGrid w:val="0"/>
        <w:rPr>
          <w:rFonts w:ascii="宋体" w:eastAsia="宋体" w:hAnsi="宋体" w:cs="Times New Roman"/>
          <w:sz w:val="24"/>
          <w:szCs w:val="24"/>
        </w:rPr>
      </w:pPr>
      <w:r w:rsidRPr="004E10C3">
        <w:rPr>
          <w:rFonts w:ascii="仿宋_GB2312" w:eastAsia="仿宋_GB2312" w:hAnsi="Times New Roman" w:cs="Times New Roman" w:hint="eastAsia"/>
          <w:sz w:val="28"/>
          <w:szCs w:val="28"/>
        </w:rPr>
        <w:t xml:space="preserve">　　</w:t>
      </w:r>
      <w:r w:rsidRPr="004E10C3">
        <w:rPr>
          <w:rFonts w:ascii="宋体" w:eastAsia="宋体" w:hAnsi="宋体" w:cs="Times New Roman" w:hint="eastAsia"/>
          <w:sz w:val="24"/>
          <w:szCs w:val="24"/>
        </w:rPr>
        <w:t>特殊疾病人群、特定地区人群/族群（Community）：具有某种共同特点的人群，该特点可以是相同/相近的区域，或是相同的价值观，或是共同的利益，或是患有同样的疾病。</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保密性(Confidentiality)：防止将涉及所有权的信息或个人身份信息透露给无权知晓者。</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利益冲突(Conflict of Interest)：当伦理委员会委员因与所审查的试验项目之间存在相关利益，因而影响他/她从保护受试者的角度出发，对试验作出公正独立的审查。利益冲突的产生常见于伦理委员会委员与审查项目之间存在经济上、物质上、机构以及社会关系方面的利益关系。</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数据安全监察委员会(Data and Safety Monitoring Board): 由申办者负责建立的一个独立的数据安全监察委员会，其职责是定期评估试验进展，分析安全性数据以及重要的效应指标，并向申办者提出试验继续进行、或进行修正、或提前终止的建议。</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伦理委员会（Ethics Committee，Institutional Review Board）：由医学专业人员、法律专家及非医务人员组成的独立组织，其职责为核查临床试验方案及附件是否合乎道德，并为之提供公众保证，确保受试者的安全、健康和权益受到保护。该委员会的组成和一切活动不应受临床试验组织和实施者的干扰或影响。</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知情同意（Informed Consent）：指向受试者告知一项试验的各方面情况后，受试者自愿确认其同意参加该项临床试验的过程，须以签名和注明日期的知情同意书作为文件证明。</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知情同意书（Informed Consent Form）：是每位受试者表示自愿参加某一试验的文件证明。研究者需向受试者说明试验性质、试验目的、可能的受益和风险、可供选用的其他治疗方法以及符合《赫尔辛基宣言》规定的受试者的权利和义务等，使受试者充分了解后表达其同意。</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最小风险（Minimal Risk）：指试验中预期风险的可能性和程度不大于日常生活、或进行常规体格检查或心理测试的风险。</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多中心临床试验（Multicentre Trial）：遵循同一方案，在多个试验中心，分别由多名研究者负责实施完成的临床试验。</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不依从/违背方案（Non-compliance/Violation）：指对伦理委员会批准试验方案的所有偏离，并且这种偏离没有获得伦理委员会的事先批准，或者不依从/违背人体受试者保护规定和伦理委员会要求的情况。</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修正案 (Protocol Amendment): 对试验方案，以及有关试验组织实施的其它文件及信息的书面修改或澄清。</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法定到会人数（Quorum）：为对某项试验进行审查和决定而规定的必须参加会议的伦理委员会委员人数和资格要求，即有效会议应出席的委员人数和资格要求。</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受试者（Research participant）：参加生物医学研究的个人，可以作为试验组、或对照组、或观察组，包括健康自愿者，或是与试验目标人群无直接相关性的自愿参加者，或是来自试验用药所针对的患病人群。</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标准操作规程（Standard Operating Procedure, SOP）：为确保实施的一致性从而达到特定目的而制定的详细的书面操作说明。</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严重不良事件（Serious Adverse Event）：临床试验过程中发生需住院治疗、</w:t>
      </w:r>
      <w:r w:rsidRPr="004E10C3">
        <w:rPr>
          <w:rFonts w:ascii="宋体" w:eastAsia="宋体" w:hAnsi="宋体" w:cs="Times New Roman" w:hint="eastAsia"/>
          <w:sz w:val="24"/>
          <w:szCs w:val="24"/>
        </w:rPr>
        <w:lastRenderedPageBreak/>
        <w:t>延长住院时间、伤残、影响工作能力、危及生命或死亡、导致先天畸形等事件。</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非预期不良事件（Unexpected  Adverse Event）：不良事件的性质、严重程度或频度，不同于先前方案或其他相关资料（如研究者手册、药品说明）所描述的预期风险。</w:t>
      </w:r>
    </w:p>
    <w:p w:rsidR="004E10C3" w:rsidRPr="004E10C3" w:rsidRDefault="004E10C3" w:rsidP="004E10C3">
      <w:pPr>
        <w:snapToGrid w:val="0"/>
        <w:rPr>
          <w:rFonts w:ascii="宋体" w:eastAsia="宋体" w:hAnsi="宋体" w:cs="Times New Roman"/>
          <w:sz w:val="24"/>
          <w:szCs w:val="24"/>
        </w:rPr>
      </w:pPr>
      <w:r w:rsidRPr="004E10C3">
        <w:rPr>
          <w:rFonts w:ascii="宋体" w:eastAsia="宋体" w:hAnsi="宋体" w:cs="Times New Roman" w:hint="eastAsia"/>
          <w:sz w:val="24"/>
          <w:szCs w:val="24"/>
        </w:rPr>
        <w:t xml:space="preserve">　　弱势群体（Vulnerable Persons）：相对地（或绝对地）没有能力维护自身利益的人，通常是指那些能力或自由受到限制而无法给予同意或拒绝同意的人，包括儿童，因为精神障碍而不能给予知情同意的人等。</w:t>
      </w:r>
    </w:p>
    <w:p w:rsidR="00380F59" w:rsidRPr="004E10C3" w:rsidRDefault="00380F59">
      <w:pPr>
        <w:rPr>
          <w:rFonts w:ascii="宋体" w:eastAsia="宋体" w:hAnsi="宋体"/>
          <w:sz w:val="24"/>
          <w:szCs w:val="24"/>
        </w:rPr>
      </w:pPr>
    </w:p>
    <w:sectPr w:rsidR="00380F59" w:rsidRPr="004E10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9D5" w:rsidRDefault="00D729D5" w:rsidP="004E10C3">
      <w:r>
        <w:separator/>
      </w:r>
    </w:p>
  </w:endnote>
  <w:endnote w:type="continuationSeparator" w:id="0">
    <w:p w:rsidR="00D729D5" w:rsidRDefault="00D729D5" w:rsidP="004E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9D5" w:rsidRDefault="00D729D5" w:rsidP="004E10C3">
      <w:r>
        <w:separator/>
      </w:r>
    </w:p>
  </w:footnote>
  <w:footnote w:type="continuationSeparator" w:id="0">
    <w:p w:rsidR="00D729D5" w:rsidRDefault="00D729D5" w:rsidP="004E1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10C3"/>
    <w:rsid w:val="00380F59"/>
    <w:rsid w:val="004E10C3"/>
    <w:rsid w:val="00D729D5"/>
    <w:rsid w:val="00E45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4D473"/>
  <w15:docId w15:val="{CC6B6128-D2BB-4FFE-9847-540B9CF7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10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4E10C3"/>
    <w:rPr>
      <w:sz w:val="18"/>
      <w:szCs w:val="18"/>
    </w:rPr>
  </w:style>
  <w:style w:type="paragraph" w:styleId="a5">
    <w:name w:val="footer"/>
    <w:basedOn w:val="a"/>
    <w:link w:val="a6"/>
    <w:uiPriority w:val="99"/>
    <w:semiHidden/>
    <w:unhideWhenUsed/>
    <w:rsid w:val="004E10C3"/>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4E10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91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1555</Words>
  <Characters>8870</Characters>
  <Application>Microsoft Office Word</Application>
  <DocSecurity>0</DocSecurity>
  <Lines>73</Lines>
  <Paragraphs>20</Paragraphs>
  <ScaleCrop>false</ScaleCrop>
  <Company>Microsoft</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pc-hp</dc:creator>
  <cp:keywords/>
  <dc:description/>
  <cp:lastModifiedBy>陈 Q</cp:lastModifiedBy>
  <cp:revision>3</cp:revision>
  <dcterms:created xsi:type="dcterms:W3CDTF">2018-06-16T08:00:00Z</dcterms:created>
  <dcterms:modified xsi:type="dcterms:W3CDTF">2019-08-25T07:36:00Z</dcterms:modified>
</cp:coreProperties>
</file>