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/>
        <w:jc w:val="center"/>
        <w:textAlignment w:val="auto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临床试验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递交机构立项材料的要求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确立合作意向后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请申办方务必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机构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立项之前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10个工作日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按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照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“临床试验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”(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JG-SOP-04-AP-A-1.0 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药物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要求准备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好文件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资料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递交给机构办公室秘书。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主要研究者提出立项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仔细填写(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JG-SOP-04-AP-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B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-1.0 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药物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临床试验立项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请表)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请表中项目名称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试验类别、药物注册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分类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、任务来源、研究团队及项目概况等内容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签名并注明日期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主要研究者与申办者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CRO仔细核对并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递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交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相关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材料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资料备齐后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务必加盖公章，所有签字页均要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有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完整签名并签署日期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未能提供的材料需出示“情况说明”，并加盖公章、签署日期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所有文件资料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均需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提供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相应的电子文档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及纸质版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电子档材料需按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(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JG-SOP-04-AP-A-1.0 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药物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编号</w:t>
      </w:r>
      <w:r>
        <w:rPr>
          <w:rFonts w:hint="eastAsia" w:eastAsia="仿宋" w:cs="Times New Roman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纸质版材料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请准备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A4快劳夹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（图1-1）和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1</w:t>
      </w:r>
      <w:r>
        <w:rPr>
          <w:rFonts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孔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  <w:lang w:val="en-US" w:eastAsia="zh-CN"/>
        </w:rPr>
        <w:t>透明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  <w:t>文件袋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（图1-2）</w:t>
      </w:r>
      <w:r>
        <w:rPr>
          <w:rFonts w:hint="eastAsia" w:eastAsia="仿宋" w:cs="Times New Roman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按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照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(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eastAsia="zh-CN"/>
        </w:rPr>
        <w:t xml:space="preserve">JG-SOP-04-AP-A-1.0 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药物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临床试验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  <w:lang w:val="en-US" w:eastAsia="zh-CN"/>
        </w:rPr>
        <w:t>受理资料目录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sz w:val="24"/>
          <w:szCs w:val="24"/>
        </w:rPr>
        <w:t>)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</w:rPr>
        <w:t>顺序摆放</w:t>
      </w: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（图1-3）。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404040"/>
          <w:spacing w:val="0"/>
          <w:sz w:val="24"/>
          <w:szCs w:val="24"/>
          <w:u w:val="none"/>
        </w:rPr>
        <w:drawing>
          <wp:inline distT="0" distB="0" distL="114300" distR="114300">
            <wp:extent cx="3862705" cy="3349625"/>
            <wp:effectExtent l="9525" t="9525" r="13970" b="1905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3349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图1-1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48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404040"/>
          <w:spacing w:val="0"/>
          <w:sz w:val="24"/>
          <w:szCs w:val="24"/>
          <w:u w:val="none"/>
        </w:rPr>
        <w:drawing>
          <wp:inline distT="0" distB="0" distL="114300" distR="114300">
            <wp:extent cx="4643120" cy="3491230"/>
            <wp:effectExtent l="9525" t="9525" r="20955" b="1714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3491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 w:val="0"/>
          <w:bCs w:val="0"/>
          <w:sz w:val="24"/>
          <w:szCs w:val="24"/>
        </w:rPr>
        <w:drawing>
          <wp:inline distT="0" distB="0" distL="114300" distR="114300">
            <wp:extent cx="4682490" cy="2966085"/>
            <wp:effectExtent l="9525" t="9525" r="19685" b="2159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96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center"/>
        <w:textAlignment w:val="auto"/>
        <w:rPr>
          <w:rFonts w:ascii="Times New Roman" w:hAnsi="Times New Roman" w:eastAsia="仿宋" w:cs="Times New Roman"/>
          <w:b w:val="0"/>
          <w:bCs w:val="0"/>
          <w:sz w:val="24"/>
          <w:szCs w:val="24"/>
        </w:rPr>
      </w:pPr>
      <w:r>
        <w:rPr>
          <w:rFonts w:hint="eastAsia" w:eastAsia="仿宋" w:cs="Times New Roman"/>
          <w:b w:val="0"/>
          <w:bCs w:val="0"/>
          <w:sz w:val="24"/>
          <w:szCs w:val="24"/>
          <w:lang w:val="en-US" w:eastAsia="zh-CN"/>
        </w:rPr>
        <w:t>图1-3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drawing>
        <wp:inline distT="0" distB="0" distL="0" distR="0">
          <wp:extent cx="1069340" cy="246380"/>
          <wp:effectExtent l="0" t="0" r="10160" b="7620"/>
          <wp:docPr id="1" name="图片 1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CF7BF"/>
    <w:multiLevelType w:val="singleLevel"/>
    <w:tmpl w:val="95FCF7B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4D57"/>
    <w:rsid w:val="051E7C4D"/>
    <w:rsid w:val="064B3CFA"/>
    <w:rsid w:val="0ACB18AF"/>
    <w:rsid w:val="12DD63DC"/>
    <w:rsid w:val="14262D9D"/>
    <w:rsid w:val="151267C7"/>
    <w:rsid w:val="15977DA2"/>
    <w:rsid w:val="16B43368"/>
    <w:rsid w:val="1B2C184F"/>
    <w:rsid w:val="1F98547A"/>
    <w:rsid w:val="219C7DA4"/>
    <w:rsid w:val="224B1736"/>
    <w:rsid w:val="23972674"/>
    <w:rsid w:val="23F54D62"/>
    <w:rsid w:val="2D8463CF"/>
    <w:rsid w:val="33753860"/>
    <w:rsid w:val="38E115BC"/>
    <w:rsid w:val="3E767E74"/>
    <w:rsid w:val="3EE72FAC"/>
    <w:rsid w:val="40285271"/>
    <w:rsid w:val="41FE5E88"/>
    <w:rsid w:val="42986672"/>
    <w:rsid w:val="439B069A"/>
    <w:rsid w:val="46B75C9F"/>
    <w:rsid w:val="46CA3F8B"/>
    <w:rsid w:val="4F434B19"/>
    <w:rsid w:val="56644537"/>
    <w:rsid w:val="56AA75BD"/>
    <w:rsid w:val="5C1B3ACE"/>
    <w:rsid w:val="5C535581"/>
    <w:rsid w:val="5EC65BF7"/>
    <w:rsid w:val="5FE31B67"/>
    <w:rsid w:val="5FF86C3F"/>
    <w:rsid w:val="631D06CD"/>
    <w:rsid w:val="664115BC"/>
    <w:rsid w:val="6B5B1521"/>
    <w:rsid w:val="6C923FDD"/>
    <w:rsid w:val="70AB1B67"/>
    <w:rsid w:val="71F9331B"/>
    <w:rsid w:val="74A900EF"/>
    <w:rsid w:val="78DF275B"/>
    <w:rsid w:val="79D94724"/>
    <w:rsid w:val="7D7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16363</dc:creator>
  <cp:lastModifiedBy>翎歆</cp:lastModifiedBy>
  <dcterms:modified xsi:type="dcterms:W3CDTF">2019-09-09T07:31:03Z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